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8BEB" w14:textId="2FE6C707" w:rsidR="00360657" w:rsidRPr="00937860" w:rsidRDefault="00360657" w:rsidP="00360657">
      <w:pPr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en-CA"/>
        </w:rPr>
      </w:pPr>
      <w:r w:rsidRPr="0093786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en-CA"/>
        </w:rPr>
        <w:t>Research links- Aide de memoir</w:t>
      </w:r>
      <w:r w:rsidR="00D8298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en-CA"/>
        </w:rPr>
        <w:t>e</w:t>
      </w:r>
    </w:p>
    <w:p w14:paraId="73B58438" w14:textId="77777777" w:rsidR="00360657" w:rsidRDefault="00360657" w:rsidP="00360657">
      <w:pPr>
        <w:rPr>
          <w:rFonts w:ascii="Times New Roman" w:eastAsia="Times New Roman" w:hAnsi="Times New Roman" w:cs="Times New Roman"/>
          <w:lang w:eastAsia="en-CA"/>
        </w:rPr>
      </w:pPr>
    </w:p>
    <w:p w14:paraId="159E4DFC" w14:textId="77777777" w:rsidR="00360657" w:rsidRDefault="00360657" w:rsidP="00360657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 xml:space="preserve">Often students unfamiliar with the law are unsure where to start their research. </w:t>
      </w:r>
    </w:p>
    <w:p w14:paraId="752276EA" w14:textId="77777777" w:rsidR="00360657" w:rsidRDefault="00360657" w:rsidP="00360657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>I thought it might be helpful tp provide some “start points” to get you underway.</w:t>
      </w:r>
    </w:p>
    <w:p w14:paraId="4638DBF4" w14:textId="5B06F898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 don't look for a lot of cases -- one or two...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 xml:space="preserve"> -- it has taken me a little while to collect these materials for my ref– I will share with you--- it certainly can be overwhelming trying to find the rules (law)... Law that speaks to the issues you identify in your assignments.   </w:t>
      </w:r>
    </w:p>
    <w:p w14:paraId="0E5AFDAE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53C2AE1D" w14:textId="61A08193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 xml:space="preserve">You have of course on the class site a link to the 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CA"/>
        </w:rPr>
        <w:t xml:space="preserve">BC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CA"/>
        </w:rPr>
        <w:t>S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CA"/>
        </w:rPr>
        <w:t>tatutes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 xml:space="preserve">. Search by the name (concept or notion)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their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 xml:space="preserve"> you believe it should be under ---such as trespass, negligence, motor vehicle,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joint  tenancy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etc..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 </w:t>
      </w:r>
    </w:p>
    <w:p w14:paraId="6E9E6753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</w:pPr>
    </w:p>
    <w:p w14:paraId="4DEEBE5B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 xml:space="preserve">You will find in your textbook the concepts and notions surrounding the issue(s) you have identified a case(s) and citations. </w:t>
      </w:r>
    </w:p>
    <w:p w14:paraId="5B0995C7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19C3E2A4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I found this matrix helpful …</w:t>
      </w:r>
    </w:p>
    <w:p w14:paraId="0ADA5DE9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76516D30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noProof/>
          <w:lang w:eastAsia="en-CA"/>
        </w:rPr>
        <w:drawing>
          <wp:inline distT="0" distB="0" distL="0" distR="0" wp14:anchorId="29C46251" wp14:editId="6DFC85F4">
            <wp:extent cx="8424545" cy="5491163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235" cy="5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B776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4448E86F" w14:textId="77777777" w:rsidR="00360657" w:rsidRPr="00D220C1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You can also search for law on the Internet… For example...   “</w:t>
      </w:r>
      <w:r w:rsidRPr="00C614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CA"/>
        </w:rPr>
        <w:t>The </w:t>
      </w:r>
      <w:r w:rsidRPr="00C614C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CA"/>
        </w:rPr>
        <w:t>law Canadian law makes criminal harassment an offence punishable by summary conviction or by indictment</w:t>
      </w:r>
      <w:r w:rsidRPr="00C614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CA"/>
        </w:rPr>
        <w:t>. This offence currently carries a </w:t>
      </w:r>
      <w:r w:rsidRPr="00C614C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CA"/>
        </w:rPr>
        <w:t>maximum penalty of ten years in prison</w:t>
      </w:r>
      <w:r w:rsidRPr="00C614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CA"/>
        </w:rPr>
        <w:t>. Section 264. (1) of the Criminal Code specifies: 264. (1) Criminal harassment - No person shall, without lawful authority and knowing ….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en-CA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3C09B780" w14:textId="77777777" w:rsidR="00360657" w:rsidRDefault="00360657" w:rsidP="0036065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6" w:anchor=":~:text=The%20law%20Canadian%20law%20makes%20criminal%20harassment%20an,No%20person%20shall%2C%20without%20lawful%20authority%20and%20knowing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Criminal Harassment</w:t>
        </w:r>
      </w:hyperlink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5BD186C9" w14:textId="77777777" w:rsidR="00360657" w:rsidRDefault="00360657" w:rsidP="0036065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767676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102CAC55" w14:textId="77777777" w:rsidR="00360657" w:rsidRDefault="00360657" w:rsidP="0036065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7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www.crcvc.ca/docs/crimharass.pdf</w:t>
        </w:r>
      </w:hyperlink>
      <w:r>
        <w:rPr>
          <w:rFonts w:ascii="Times New Roman" w:eastAsia="Times New Roman" w:hAnsi="Times New Roman" w:cs="Times New Roman"/>
          <w:color w:val="006621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1CDBEE28" w14:textId="77777777" w:rsidR="00360657" w:rsidRDefault="00360657" w:rsidP="0036065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6621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3C4C2DA1" w14:textId="77777777" w:rsidR="00360657" w:rsidRDefault="00360657" w:rsidP="0036065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bdr w:val="none" w:sz="0" w:space="0" w:color="auto" w:frame="1"/>
          <w:lang w:eastAsia="en-CA"/>
        </w:rPr>
        <w:t>SOME More STUFF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517F3CB3" w14:textId="77777777" w:rsidR="00360657" w:rsidRDefault="00360657" w:rsidP="0036065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1948763F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8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https://www.bclaws.ca/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    </w:t>
      </w:r>
    </w:p>
    <w:p w14:paraId="0BED12DA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en-CA"/>
        </w:rPr>
        <w:t>Frequently Viewed Legislation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20F8DF02" w14:textId="77777777" w:rsidR="00360657" w:rsidRDefault="00360657" w:rsidP="00360657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9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Public Statutes and Regulations</w:t>
        </w:r>
      </w:hyperlink>
      <w:r>
        <w:rPr>
          <w:rFonts w:ascii="Times New Roman" w:eastAsia="Times New Roman" w:hAnsi="Times New Roman" w:cs="Times New Roman"/>
          <w:color w:val="494949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69010D8" w14:textId="77777777" w:rsidR="00360657" w:rsidRDefault="00360657" w:rsidP="00360657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0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Private, Special and Local Statutes and Regulations</w:t>
        </w:r>
      </w:hyperlink>
      <w:r>
        <w:rPr>
          <w:rFonts w:ascii="Times New Roman" w:eastAsia="Times New Roman" w:hAnsi="Times New Roman" w:cs="Times New Roman"/>
          <w:color w:val="494949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en-CA"/>
        </w:rPr>
        <w:t>ntly Viewed Legislation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</w:p>
    <w:p w14:paraId="5FE2DC06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1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Child Care Licensing Regulation – 332/2007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1D1FBCCE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2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Child, Family and Community Service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659AF084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3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Employment Standards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409F550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4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Family Law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D14AD1F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5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Freedom of Information and Protection of Privacy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6D42346F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6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Labour Relations Code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1FE26CAE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7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Motor Vehicle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4C70077B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8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Personal Information Protection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0DBE356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19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Real Estate Services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EAD1211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0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Residential Tenancy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209AD605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1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Strata Property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6F113380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2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Supreme Court Civil Rules - 168/2009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1F1A81B" w14:textId="77777777" w:rsidR="00360657" w:rsidRDefault="00360657" w:rsidP="00360657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3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Wills Estates and Succession Act</w:t>
        </w:r>
      </w:hyperlink>
      <w:r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en-CA"/>
        </w:rPr>
        <w:t>nd Updated Legislation</w:t>
      </w:r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2ECAD393" w14:textId="77777777" w:rsidR="00360657" w:rsidRDefault="00360657" w:rsidP="0036065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4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Cannabis Control and Licensing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362377FC" w14:textId="77777777" w:rsidR="00360657" w:rsidRDefault="00360657" w:rsidP="0036065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5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COVID-19 Related Measures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9BED744" w14:textId="77777777" w:rsidR="00360657" w:rsidRDefault="00360657" w:rsidP="0036065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6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Emergency Program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79550193" w14:textId="77777777" w:rsidR="00360657" w:rsidRDefault="00360657" w:rsidP="0036065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7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Income Tax Act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4D2A553E" w14:textId="77777777" w:rsidR="00360657" w:rsidRDefault="00360657" w:rsidP="00360657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8" w:tgtFrame="_blank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Occupational Health and Safety Regulation - 296/97</w:t>
        </w:r>
      </w:hyperlink>
      <w:r>
        <w:rPr>
          <w:rFonts w:ascii="Times New Roman" w:eastAsia="Times New Roman" w:hAnsi="Times New Roman" w:cs="Times New Roman"/>
          <w:color w:val="CCCCCC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75B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en-CA"/>
        </w:rPr>
        <w:t>School Act </w:t>
      </w:r>
      <w:r>
        <w:rPr>
          <w:rFonts w:ascii="Times New Roman" w:eastAsia="Times New Roman" w:hAnsi="Times New Roman" w:cs="Times New Roman"/>
          <w:b/>
          <w:bCs/>
          <w:i/>
          <w:iCs/>
          <w:color w:val="003E51"/>
          <w:sz w:val="24"/>
          <w:szCs w:val="24"/>
          <w:bdr w:val="none" w:sz="0" w:space="0" w:color="auto" w:frame="1"/>
          <w:lang w:eastAsia="en-CA"/>
        </w:rPr>
        <w:t>Jurisprudence</w:t>
      </w:r>
      <w:r>
        <w:rPr>
          <w:rFonts w:ascii="Times New Roman" w:eastAsia="Times New Roman" w:hAnsi="Times New Roman" w:cs="Times New Roman"/>
          <w:i/>
          <w:iCs/>
          <w:color w:val="003E51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i/>
          <w:iCs/>
          <w:color w:val="2E74B5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</w:p>
    <w:p w14:paraId="6C151AA4" w14:textId="77777777" w:rsidR="00360657" w:rsidRDefault="00360657" w:rsidP="00360657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hyperlink r:id="rId29" w:tgtFrame="_blank" w:history="1">
        <w:r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eastAsia="en-CA"/>
          </w:rPr>
          <w:t>1028840 B.C. Ltd. v The Heritage Dispensary Clinic Society</w:t>
        </w:r>
      </w:hyperlink>
      <w:r>
        <w:rPr>
          <w:rFonts w:ascii="Times New Roman" w:eastAsia="Times New Roman" w:hAnsi="Times New Roman" w:cs="Times New Roman"/>
          <w:color w:val="2D2D2D"/>
          <w:sz w:val="24"/>
          <w:szCs w:val="24"/>
          <w:bdr w:val="none" w:sz="0" w:space="0" w:color="auto" w:frame="1"/>
          <w:lang w:eastAsia="en-CA"/>
        </w:rPr>
        <w:t>, 2018 BCSC 82, 2018 CanLII S1711014.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en-CA"/>
        </w:rPr>
        <w:t xml:space="preserve">Google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CA"/>
        </w:rPr>
        <w:t>Contract Law Cases – Examples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en-C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 </w:t>
      </w:r>
    </w:p>
    <w:p w14:paraId="00ABEDBC" w14:textId="77777777" w:rsidR="00360657" w:rsidRDefault="00360657" w:rsidP="00360657">
      <w:pPr>
        <w:pStyle w:val="Heading2"/>
        <w:numPr>
          <w:ilvl w:val="1"/>
          <w:numId w:val="15"/>
        </w:numPr>
        <w:shd w:val="clear" w:color="auto" w:fill="FFFFFF"/>
        <w:spacing w:before="0" w:after="0" w:line="390" w:lineRule="atLeast"/>
        <w:rPr>
          <w:rFonts w:ascii="Roboto" w:hAnsi="Roboto"/>
          <w:color w:val="000000"/>
          <w:sz w:val="30"/>
          <w:szCs w:val="30"/>
          <w:lang w:val="en-US"/>
        </w:rPr>
      </w:pPr>
      <w:r w:rsidRPr="007421E4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Carlill</w:t>
      </w:r>
      <w:r w:rsidRPr="009917F9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v </w:t>
      </w:r>
      <w:r w:rsidRPr="007421E4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Carbolic Smoke Ball Company</w:t>
      </w:r>
      <w:r w:rsidRPr="009917F9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established that an advertisement promising a reward can constitute a binding unilateral contract accepted by performance</w:t>
      </w:r>
      <w:r>
        <w:rPr>
          <w:rStyle w:val="Strong"/>
          <w:rFonts w:ascii="Roboto" w:hAnsi="Roboto"/>
          <w:b w:val="0"/>
          <w:bCs w:val="0"/>
          <w:color w:val="000000"/>
          <w:sz w:val="30"/>
          <w:szCs w:val="30"/>
        </w:rPr>
        <w:t>.</w:t>
      </w:r>
    </w:p>
    <w:p w14:paraId="5ECBE4FD" w14:textId="77777777" w:rsidR="00360657" w:rsidRDefault="00360657" w:rsidP="0036065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4F1CB7BE" w14:textId="77777777" w:rsidR="00360657" w:rsidRPr="007421E4" w:rsidRDefault="00360657" w:rsidP="00360657">
      <w:pPr>
        <w:pStyle w:val="ListParagraph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742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CA"/>
        </w:rPr>
        <w:t xml:space="preserve">Coward </w:t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en-CA"/>
        </w:rPr>
        <w:t xml:space="preserve">v. </w:t>
      </w:r>
      <w:r w:rsidRPr="007421E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en-CA"/>
        </w:rPr>
        <w:t>Motor Insurers’ Bureau (1963)</w:t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en-CA"/>
        </w:rPr>
        <w:t xml:space="preserve"> 1 QB 259 (CA) In this matter Mr. Coward and Mr. ...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color w:val="000000"/>
        </w:rPr>
        <w:t>“</w:t>
      </w:r>
      <w:hyperlink r:id="rId30" w:tgtFrame="_blank" w:history="1">
        <w:r w:rsidRPr="007421E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CA"/>
          </w:rPr>
          <w:t>contributory negligence" law - Bing</w:t>
        </w:r>
      </w:hyperlink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>“Contributory negligence, in law, </w:t>
      </w:r>
      <w:r w:rsidRPr="00742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>behaviour that contributes to one’s own injury or loss</w:t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> and fails to meet the standard of prudence that one should observe for one’s own good. Contributory negligence of the plaintiff is frequently pleaded in defense to a charge of negligence. Historically the doctrine grew out of distrust of juries, which have usually been more sympathetic to plaintiffs in personal injury lawsuits.”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aps/>
          <w:color w:val="00809D"/>
          <w:spacing w:val="5"/>
          <w:sz w:val="24"/>
          <w:szCs w:val="24"/>
          <w:bdr w:val="none" w:sz="0" w:space="0" w:color="auto" w:frame="1"/>
          <w:shd w:val="clear" w:color="auto" w:fill="FFFFFF"/>
          <w:lang w:eastAsia="en-CA"/>
        </w:rPr>
        <w:t>PEOPLE ALSO ASK</w:t>
      </w:r>
      <w:r w:rsidRPr="007421E4">
        <w:rPr>
          <w:rFonts w:ascii="Times New Roman" w:eastAsia="Times New Roman" w:hAnsi="Times New Roman" w:cs="Times New Roman"/>
          <w:color w:val="767676"/>
          <w:sz w:val="24"/>
          <w:szCs w:val="24"/>
          <w:bdr w:val="none" w:sz="0" w:space="0" w:color="auto" w:frame="1"/>
          <w:shd w:val="clear" w:color="auto" w:fill="FFFFFF"/>
          <w:lang w:eastAsia="en-CA"/>
        </w:rPr>
        <w:t>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>What is contributory negligence in tort cases? </w:t>
      </w:r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>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>Can contributory negligence be abolished?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What was the </w:t>
      </w:r>
      <w:r w:rsidRPr="007421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  <w:lang w:eastAsia="en-CA"/>
        </w:rPr>
        <w:t>Contributory Negligence Act of 1945? </w:t>
      </w:r>
      <w:r w:rsidRPr="0074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t>What is compensatory negligence reform?</w:t>
      </w:r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>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>In some common law jurisdictions, contributory negligence is a defense to a tort claim based on negligence. If it is available, the defense completely bars plaintiffs from any recovery if they contribute to their own injury through their own negligence.</w:t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en-CA"/>
        </w:rPr>
        <w:br/>
      </w:r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 Lots of </w:t>
      </w:r>
      <w:proofErr w:type="gramStart"/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>videos  on</w:t>
      </w:r>
      <w:proofErr w:type="gramEnd"/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 topic  </w:t>
      </w:r>
      <w:hyperlink r:id="rId31" w:tgtFrame="_blank" w:history="1">
        <w:r w:rsidRPr="007421E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en-CA"/>
          </w:rPr>
          <w:t>Tort Law: Contributory Negligence - Bing video</w:t>
        </w:r>
      </w:hyperlink>
      <w:r w:rsidRPr="007421E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en-CA"/>
        </w:rPr>
        <w:t> </w:t>
      </w:r>
      <w:r w:rsidRPr="007421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CA"/>
        </w:rPr>
        <w:t> </w:t>
      </w:r>
    </w:p>
    <w:p w14:paraId="1BC1E6AB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78BADE26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</w:pP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>It is good practice in your answers that you provide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>’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 xml:space="preserve"> further evidence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>’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 xml:space="preserve"> than just the textbook. </w:t>
      </w:r>
    </w:p>
    <w:p w14:paraId="33E94234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</w:pPr>
    </w:p>
    <w:p w14:paraId="169D9C09" w14:textId="77777777" w:rsidR="00360657" w:rsidRPr="00910160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</w:pP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>Statutes and case law are better than textbooks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 xml:space="preserve"> to support your “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CA"/>
        </w:rPr>
        <w:t>opinion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CA"/>
        </w:rPr>
        <w:t>’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CA"/>
        </w:rPr>
        <w:t>s</w:t>
      </w:r>
      <w:r w:rsidRPr="00910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CA"/>
        </w:rPr>
        <w:t>.</w:t>
      </w:r>
    </w:p>
    <w:p w14:paraId="3777C243" w14:textId="77777777" w:rsidR="00360657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086458A3" w14:textId="77777777" w:rsidR="00360657" w:rsidRPr="00CF57FA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CA"/>
        </w:rPr>
        <w:t>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CA"/>
        </w:rPr>
        <w:t>,</w:t>
      </w:r>
      <w:r w:rsidRPr="00CF5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CA"/>
        </w:rPr>
        <w:t xml:space="preserve"> no easy way</w:t>
      </w:r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-- lawyers </w:t>
      </w:r>
      <w:proofErr w:type="gramStart"/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have to</w:t>
      </w:r>
      <w:proofErr w:type="gramEnd"/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 </w:t>
      </w:r>
      <w:r w:rsidRPr="009917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en-CA"/>
        </w:rPr>
        <w:t>think critically</w:t>
      </w:r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 and attempt to connect the dots;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…  </w:t>
      </w:r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that’s what you’re asked to do in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the</w:t>
      </w:r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 xml:space="preserve">assignments; </w:t>
      </w:r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not as simple as going to “page 69 and writing down the five bullet points</w:t>
      </w:r>
      <w:proofErr w:type="gramStart"/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”..</w:t>
      </w:r>
      <w:proofErr w:type="gramEnd"/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t> </w:t>
      </w:r>
      <w:r w:rsidRPr="00CF5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CA"/>
        </w:rPr>
        <w:br/>
      </w:r>
    </w:p>
    <w:p w14:paraId="0CA925F5" w14:textId="77777777" w:rsidR="00360657" w:rsidRPr="00B162BC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</w:t>
      </w:r>
      <w:r w:rsidRPr="00B162B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eed to </w:t>
      </w:r>
      <w:proofErr w:type="gramStart"/>
      <w:r w:rsidRPr="00991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CA"/>
        </w:rPr>
        <w:t>research</w:t>
      </w:r>
      <w:r w:rsidRPr="00B162B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..</w:t>
      </w:r>
      <w:proofErr w:type="gramEnd"/>
      <w:r w:rsidRPr="00B162B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 Hope this helps …  terry  </w:t>
      </w:r>
    </w:p>
    <w:p w14:paraId="5021D915" w14:textId="77777777" w:rsidR="00360657" w:rsidRPr="00B162BC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14:paraId="3D91D37F" w14:textId="77777777" w:rsidR="00360657" w:rsidRPr="00B162BC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CA"/>
        </w:rPr>
      </w:pPr>
      <w:r w:rsidRPr="00B162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Visit Blog  </w:t>
      </w:r>
      <w:hyperlink r:id="rId32" w:tgtFrame="_blank" w:history="1">
        <w:r w:rsidRPr="00B162B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https://terrypowerstrategy.com/</w:t>
        </w:r>
      </w:hyperlink>
    </w:p>
    <w:p w14:paraId="1E6B72F3" w14:textId="77777777" w:rsidR="00360657" w:rsidRPr="00B162BC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CA"/>
        </w:rPr>
      </w:pPr>
    </w:p>
    <w:p w14:paraId="1B259684" w14:textId="77777777" w:rsidR="00360657" w:rsidRPr="00B162BC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99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CA"/>
        </w:rPr>
        <w:t xml:space="preserve"> </w:t>
      </w:r>
      <w:proofErr w:type="gramStart"/>
      <w:r w:rsidRPr="0099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CA"/>
        </w:rPr>
        <w:t>See  notes</w:t>
      </w:r>
      <w:proofErr w:type="gramEnd"/>
      <w:r w:rsidRPr="009917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CA"/>
        </w:rPr>
        <w:t xml:space="preserve"> on exam</w:t>
      </w:r>
      <w:r w:rsidRPr="00B16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CA"/>
        </w:rPr>
        <w:t>---</w:t>
      </w:r>
    </w:p>
    <w:p w14:paraId="0C0C0F50" w14:textId="77777777" w:rsidR="00360657" w:rsidRPr="00B162BC" w:rsidRDefault="00360657" w:rsidP="00360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45B41CDF" w14:textId="77777777" w:rsidR="00360657" w:rsidRDefault="00360657" w:rsidP="00360657">
      <w:pPr>
        <w:rPr>
          <w:rFonts w:ascii="Times New Roman" w:eastAsia="Times New Roman" w:hAnsi="Times New Roman" w:cs="Times New Roman"/>
          <w:lang w:eastAsia="en-CA"/>
        </w:rPr>
      </w:pPr>
    </w:p>
    <w:p w14:paraId="571F743C" w14:textId="26D6B189" w:rsidR="00481371" w:rsidRPr="00360657" w:rsidRDefault="00481371" w:rsidP="00360657"/>
    <w:sectPr w:rsidR="00481371" w:rsidRPr="00360657" w:rsidSect="00360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738"/>
    <w:multiLevelType w:val="multilevel"/>
    <w:tmpl w:val="FA54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11F1"/>
    <w:multiLevelType w:val="multilevel"/>
    <w:tmpl w:val="DD9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B5FE3"/>
    <w:multiLevelType w:val="multilevel"/>
    <w:tmpl w:val="A05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569BF"/>
    <w:multiLevelType w:val="multilevel"/>
    <w:tmpl w:val="0EB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FC118D"/>
    <w:multiLevelType w:val="multilevel"/>
    <w:tmpl w:val="E4D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665B5"/>
    <w:multiLevelType w:val="multilevel"/>
    <w:tmpl w:val="2FF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9AB"/>
    <w:multiLevelType w:val="multilevel"/>
    <w:tmpl w:val="F77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100866"/>
    <w:multiLevelType w:val="multilevel"/>
    <w:tmpl w:val="B3E0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95178"/>
    <w:multiLevelType w:val="multilevel"/>
    <w:tmpl w:val="3BAC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372E80"/>
    <w:multiLevelType w:val="multilevel"/>
    <w:tmpl w:val="4D4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7C79AC"/>
    <w:multiLevelType w:val="multilevel"/>
    <w:tmpl w:val="2DCC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6431A"/>
    <w:multiLevelType w:val="multilevel"/>
    <w:tmpl w:val="052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F28E2"/>
    <w:multiLevelType w:val="multilevel"/>
    <w:tmpl w:val="62A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E574F8"/>
    <w:multiLevelType w:val="multilevel"/>
    <w:tmpl w:val="21FA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245A3"/>
    <w:multiLevelType w:val="multilevel"/>
    <w:tmpl w:val="8E48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08304F"/>
    <w:multiLevelType w:val="multilevel"/>
    <w:tmpl w:val="F674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567161">
    <w:abstractNumId w:val="7"/>
  </w:num>
  <w:num w:numId="2" w16cid:durableId="1307971666">
    <w:abstractNumId w:val="0"/>
  </w:num>
  <w:num w:numId="3" w16cid:durableId="1545560698">
    <w:abstractNumId w:val="15"/>
  </w:num>
  <w:num w:numId="4" w16cid:durableId="566919107">
    <w:abstractNumId w:val="13"/>
  </w:num>
  <w:num w:numId="5" w16cid:durableId="1753117542">
    <w:abstractNumId w:val="4"/>
  </w:num>
  <w:num w:numId="6" w16cid:durableId="233592483">
    <w:abstractNumId w:val="10"/>
  </w:num>
  <w:num w:numId="7" w16cid:durableId="2028015808">
    <w:abstractNumId w:val="1"/>
  </w:num>
  <w:num w:numId="8" w16cid:durableId="2031754941">
    <w:abstractNumId w:val="5"/>
  </w:num>
  <w:num w:numId="9" w16cid:durableId="1308627893">
    <w:abstractNumId w:val="8"/>
  </w:num>
  <w:num w:numId="10" w16cid:durableId="275065283">
    <w:abstractNumId w:val="11"/>
  </w:num>
  <w:num w:numId="11" w16cid:durableId="237709558">
    <w:abstractNumId w:val="9"/>
  </w:num>
  <w:num w:numId="12" w16cid:durableId="2070615781">
    <w:abstractNumId w:val="14"/>
  </w:num>
  <w:num w:numId="13" w16cid:durableId="1623149928">
    <w:abstractNumId w:val="3"/>
  </w:num>
  <w:num w:numId="14" w16cid:durableId="1784617748">
    <w:abstractNumId w:val="12"/>
  </w:num>
  <w:num w:numId="15" w16cid:durableId="1425882987">
    <w:abstractNumId w:val="2"/>
  </w:num>
  <w:num w:numId="16" w16cid:durableId="875577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3"/>
    <w:rsid w:val="00046647"/>
    <w:rsid w:val="00056D66"/>
    <w:rsid w:val="00167F8E"/>
    <w:rsid w:val="00287B30"/>
    <w:rsid w:val="00360657"/>
    <w:rsid w:val="00407A8E"/>
    <w:rsid w:val="00456E44"/>
    <w:rsid w:val="00481371"/>
    <w:rsid w:val="005DE968"/>
    <w:rsid w:val="007421E4"/>
    <w:rsid w:val="00775B3F"/>
    <w:rsid w:val="00824E79"/>
    <w:rsid w:val="00910160"/>
    <w:rsid w:val="009158E5"/>
    <w:rsid w:val="00937860"/>
    <w:rsid w:val="009917F9"/>
    <w:rsid w:val="009E0AB5"/>
    <w:rsid w:val="00A06484"/>
    <w:rsid w:val="00B162BC"/>
    <w:rsid w:val="00C614C7"/>
    <w:rsid w:val="00CF57FA"/>
    <w:rsid w:val="00D220C1"/>
    <w:rsid w:val="00D82982"/>
    <w:rsid w:val="00DE7E53"/>
    <w:rsid w:val="00E23A10"/>
    <w:rsid w:val="00E76CF2"/>
    <w:rsid w:val="051ACA36"/>
    <w:rsid w:val="0B34A74C"/>
    <w:rsid w:val="0C773230"/>
    <w:rsid w:val="0E1B308A"/>
    <w:rsid w:val="13E475C6"/>
    <w:rsid w:val="1A8A3626"/>
    <w:rsid w:val="1B949A2F"/>
    <w:rsid w:val="1BEB9427"/>
    <w:rsid w:val="2A6F1486"/>
    <w:rsid w:val="2AACD7AA"/>
    <w:rsid w:val="2BDAEE04"/>
    <w:rsid w:val="2FEB4B52"/>
    <w:rsid w:val="30A80EF3"/>
    <w:rsid w:val="3339A989"/>
    <w:rsid w:val="34E94202"/>
    <w:rsid w:val="3775C769"/>
    <w:rsid w:val="38370DCF"/>
    <w:rsid w:val="3DA6E554"/>
    <w:rsid w:val="402A1C51"/>
    <w:rsid w:val="44D56106"/>
    <w:rsid w:val="4889B5DD"/>
    <w:rsid w:val="55511A96"/>
    <w:rsid w:val="5679E29E"/>
    <w:rsid w:val="56824771"/>
    <w:rsid w:val="57819FCD"/>
    <w:rsid w:val="58E2C483"/>
    <w:rsid w:val="5DC23947"/>
    <w:rsid w:val="67F03E40"/>
    <w:rsid w:val="681DE80C"/>
    <w:rsid w:val="69E2DEC9"/>
    <w:rsid w:val="7288C28E"/>
    <w:rsid w:val="751CBB9D"/>
    <w:rsid w:val="7F88D935"/>
    <w:rsid w:val="7FC5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2EDF"/>
  <w15:chartTrackingRefBased/>
  <w15:docId w15:val="{66D703FF-3C01-40F1-BFB6-E085A379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71"/>
    <w:pPr>
      <w:spacing w:line="256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E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B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917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78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claws.ca/civix/document/id/complete/statreg/96113_01" TargetMode="External"/><Relationship Id="rId18" Type="http://schemas.openxmlformats.org/officeDocument/2006/relationships/hyperlink" Target="https://www.bclaws.ca/civix/document/id/complete/statreg/03063_01" TargetMode="External"/><Relationship Id="rId26" Type="http://schemas.openxmlformats.org/officeDocument/2006/relationships/hyperlink" Target="https://www.bclaws.ca/civix/document/id/complete/statreg/96111_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claws.ca/civix/document/id/complete/statreg/98043_0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rcvc.ca/docs/crimharass.pdf" TargetMode="External"/><Relationship Id="rId12" Type="http://schemas.openxmlformats.org/officeDocument/2006/relationships/hyperlink" Target="https://www.bclaws.ca/civix/document/id/complete/statreg/96046_01" TargetMode="External"/><Relationship Id="rId17" Type="http://schemas.openxmlformats.org/officeDocument/2006/relationships/hyperlink" Target="https://www.bclaws.ca/civix/document/id/complete/statreg/96318_00" TargetMode="External"/><Relationship Id="rId25" Type="http://schemas.openxmlformats.org/officeDocument/2006/relationships/hyperlink" Target="https://www.bclaws.ca/civix/document/id/complete/statreg/2000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claws.ca/civix/document/id/complete/statreg/96244_01" TargetMode="External"/><Relationship Id="rId20" Type="http://schemas.openxmlformats.org/officeDocument/2006/relationships/hyperlink" Target="https://www.bclaws.ca/civix/document/id/complete/statreg/02078_01" TargetMode="External"/><Relationship Id="rId29" Type="http://schemas.openxmlformats.org/officeDocument/2006/relationships/hyperlink" Target="https://www.canlii.org/en/bc/bcsc/doc/2018/2018bcsc82/2018bcsc8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rcvc.ca/docs/crimharass.pdf" TargetMode="External"/><Relationship Id="rId11" Type="http://schemas.openxmlformats.org/officeDocument/2006/relationships/hyperlink" Target="https://www.bclaws.ca/civix/document/id/complete/statreg/332_2007" TargetMode="External"/><Relationship Id="rId24" Type="http://schemas.openxmlformats.org/officeDocument/2006/relationships/hyperlink" Target="https://www.bclaws.ca/civix/document/id/complete/statreg/18029" TargetMode="External"/><Relationship Id="rId32" Type="http://schemas.openxmlformats.org/officeDocument/2006/relationships/hyperlink" Target="https://terrypowerstrategy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claws.ca/civix/document/id/complete/statreg/96165_00" TargetMode="External"/><Relationship Id="rId23" Type="http://schemas.openxmlformats.org/officeDocument/2006/relationships/hyperlink" Target="https://www.bclaws.ca/civix/document/id/complete/statreg/09013_01" TargetMode="External"/><Relationship Id="rId28" Type="http://schemas.openxmlformats.org/officeDocument/2006/relationships/hyperlink" Target="https://www.bclaws.ca/civix/document/id/complete/statreg/296_97_00" TargetMode="External"/><Relationship Id="rId10" Type="http://schemas.openxmlformats.org/officeDocument/2006/relationships/hyperlink" Target="https://www.bclaws.ca/civix/content/complete/psl/?xsl=/templates/browse.xsl" TargetMode="External"/><Relationship Id="rId19" Type="http://schemas.openxmlformats.org/officeDocument/2006/relationships/hyperlink" Target="https://www.bclaws.ca/civix/document/id/complete/statreg/04042_01" TargetMode="External"/><Relationship Id="rId31" Type="http://schemas.openxmlformats.org/officeDocument/2006/relationships/hyperlink" Target="https://www.bing.com/videos/search?q=contributory+negligence%22+law&amp;docid=608035509418723988&amp;mid=044BF097F192AA3CC4AE044BF097F192AA3CC4AE&amp;view=detail&amp;FORM=V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laws.ca/civix/content/complete/statreg/?xsl=/templates/browse.xsl" TargetMode="External"/><Relationship Id="rId14" Type="http://schemas.openxmlformats.org/officeDocument/2006/relationships/hyperlink" Target="https://www.bclaws.ca/civix/document/id/complete/statreg/11025_00" TargetMode="External"/><Relationship Id="rId22" Type="http://schemas.openxmlformats.org/officeDocument/2006/relationships/hyperlink" Target="https://www.bclaws.ca/civix/document/id/complete/statreg/168_2009_00" TargetMode="External"/><Relationship Id="rId27" Type="http://schemas.openxmlformats.org/officeDocument/2006/relationships/hyperlink" Target="https://www.bclaws.ca/civix/document/id/complete/statreg/96215_00" TargetMode="External"/><Relationship Id="rId30" Type="http://schemas.openxmlformats.org/officeDocument/2006/relationships/hyperlink" Target="https://www.bing.com/search?q=contributory+negligence%22+law&amp;form=ANNTH1&amp;refig=12e4b8da224447e8a8d899e616d79476" TargetMode="External"/><Relationship Id="rId8" Type="http://schemas.openxmlformats.org/officeDocument/2006/relationships/hyperlink" Target="https://www.bclaws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18</cp:revision>
  <dcterms:created xsi:type="dcterms:W3CDTF">2026-05-29T23:10:00Z</dcterms:created>
  <dcterms:modified xsi:type="dcterms:W3CDTF">2026-06-09T20:08:00Z</dcterms:modified>
</cp:coreProperties>
</file>